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E74" w:rsidRDefault="00431E74">
      <w:pPr>
        <w:ind w:firstLine="0"/>
        <w:jc w:val="center"/>
        <w:rPr>
          <w:rFonts w:ascii="Times New Roman" w:eastAsia="Times New Roman" w:hAnsi="Times New Roman" w:cs="Times New Roman"/>
          <w:sz w:val="24"/>
          <w:szCs w:val="24"/>
        </w:rPr>
      </w:pPr>
    </w:p>
    <w:p w:rsidR="00431E74" w:rsidRDefault="00431E74">
      <w:pPr>
        <w:ind w:firstLine="0"/>
        <w:jc w:val="center"/>
        <w:rPr>
          <w:rFonts w:ascii="Times New Roman" w:eastAsia="Times New Roman" w:hAnsi="Times New Roman" w:cs="Times New Roman"/>
          <w:sz w:val="24"/>
          <w:szCs w:val="24"/>
        </w:rPr>
      </w:pPr>
    </w:p>
    <w:p w:rsidR="00431E74" w:rsidRDefault="00431E74">
      <w:pPr>
        <w:ind w:firstLine="0"/>
        <w:jc w:val="center"/>
        <w:rPr>
          <w:rFonts w:ascii="Times New Roman" w:eastAsia="Times New Roman" w:hAnsi="Times New Roman" w:cs="Times New Roman"/>
          <w:sz w:val="24"/>
          <w:szCs w:val="24"/>
        </w:rPr>
      </w:pPr>
    </w:p>
    <w:p w:rsidR="00431E74" w:rsidRDefault="00431E74">
      <w:pPr>
        <w:ind w:firstLine="0"/>
        <w:jc w:val="center"/>
        <w:rPr>
          <w:rFonts w:ascii="Times New Roman" w:eastAsia="Times New Roman" w:hAnsi="Times New Roman" w:cs="Times New Roman"/>
          <w:sz w:val="24"/>
          <w:szCs w:val="24"/>
        </w:rPr>
      </w:pPr>
    </w:p>
    <w:p w:rsidR="00431E74" w:rsidRDefault="00431E74">
      <w:pPr>
        <w:ind w:firstLine="0"/>
        <w:jc w:val="center"/>
        <w:rPr>
          <w:rFonts w:ascii="Times New Roman" w:eastAsia="Times New Roman" w:hAnsi="Times New Roman" w:cs="Times New Roman"/>
          <w:sz w:val="24"/>
          <w:szCs w:val="24"/>
        </w:rPr>
      </w:pPr>
    </w:p>
    <w:p w:rsidR="00431E74" w:rsidRDefault="00055073">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Scientific Explanation, Space, and Time</w:t>
      </w:r>
    </w:p>
    <w:p w:rsidR="00431E74" w:rsidRDefault="00055073">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431E74" w:rsidRDefault="00055073">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431E74" w:rsidRDefault="00055073">
      <w:pPr>
        <w:rPr>
          <w:rFonts w:ascii="Times New Roman" w:eastAsia="Times New Roman" w:hAnsi="Times New Roman" w:cs="Times New Roman"/>
          <w:sz w:val="24"/>
          <w:szCs w:val="24"/>
        </w:rPr>
      </w:pPr>
      <w:r>
        <w:br w:type="page"/>
      </w:r>
    </w:p>
    <w:p w:rsidR="00431E74" w:rsidRDefault="00055073">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Scientific Explanation, Space, and Time</w:t>
      </w:r>
    </w:p>
    <w:p w:rsidR="00CB6B87" w:rsidRPr="00CB6B87" w:rsidRDefault="00CB6B87">
      <w:pPr>
        <w:ind w:firstLine="0"/>
        <w:jc w:val="center"/>
        <w:rPr>
          <w:rFonts w:ascii="Times New Roman" w:eastAsia="Times New Roman" w:hAnsi="Times New Roman" w:cs="Times New Roman"/>
          <w:b/>
          <w:sz w:val="24"/>
          <w:szCs w:val="24"/>
        </w:rPr>
      </w:pPr>
      <w:r w:rsidRPr="00CB6B87">
        <w:rPr>
          <w:rFonts w:ascii="Times New Roman" w:eastAsia="Times New Roman" w:hAnsi="Times New Roman" w:cs="Times New Roman"/>
          <w:b/>
          <w:sz w:val="24"/>
          <w:szCs w:val="24"/>
        </w:rPr>
        <w:t>The Ontological Status of theoretical entities</w:t>
      </w:r>
    </w:p>
    <w:p w:rsidR="00431E74" w:rsidRDefault="00055073">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The main topics of the book include an explanation, space and time, analyticity and theoret</w:t>
      </w:r>
      <w:r w:rsidR="00CB6B87">
        <w:rPr>
          <w:rFonts w:ascii="Times New Roman" w:eastAsia="Times New Roman" w:hAnsi="Times New Roman" w:cs="Times New Roman"/>
          <w:sz w:val="24"/>
          <w:szCs w:val="24"/>
        </w:rPr>
        <w:t>ical entities. With regards to theoretical entities’ ontological status the authors forwarded the book had a thesis that sought to show the instrumentalist view in the field of scientific discovery, observation and theory formation. Additionally, the article aimed at expounding on the dichotomy of theoretical observation.</w:t>
      </w:r>
    </w:p>
    <w:p w:rsidR="00431E74" w:rsidRDefault="00055073">
      <w:pPr>
        <w:ind w:firstLine="0"/>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ab/>
        <w:t>The first contact with the article elicited a negative reaction as it was written in a complicated format which made it difficult to follo</w:t>
      </w:r>
      <w:r>
        <w:rPr>
          <w:rFonts w:ascii="Times New Roman" w:eastAsia="Times New Roman" w:hAnsi="Times New Roman" w:cs="Times New Roman"/>
          <w:sz w:val="24"/>
          <w:szCs w:val="24"/>
        </w:rPr>
        <w:t>w. Additionally, the literature contained a lot of technical jargon which required expert interpretation</w:t>
      </w:r>
      <w:r w:rsidR="008112F9">
        <w:rPr>
          <w:rFonts w:ascii="Times New Roman" w:eastAsia="Times New Roman" w:hAnsi="Times New Roman" w:cs="Times New Roman"/>
          <w:sz w:val="24"/>
          <w:szCs w:val="24"/>
        </w:rPr>
        <w:t>. However, a majority of the facts presented in the paper were scientifically correct.</w:t>
      </w:r>
    </w:p>
    <w:p w:rsidR="00431E74" w:rsidRDefault="00055073">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One of the arguments from the main thesis concerned theoretical entities and their nature. This part of the thesis sought to establish if there exists</w:t>
      </w:r>
      <w:r>
        <w:rPr>
          <w:rFonts w:ascii="Times New Roman" w:eastAsia="Times New Roman" w:hAnsi="Times New Roman" w:cs="Times New Roman"/>
          <w:sz w:val="24"/>
          <w:szCs w:val="24"/>
        </w:rPr>
        <w:t xml:space="preserve"> a genuine distinction between observable scientific events and theoretical scientific projections (</w:t>
      </w:r>
      <w:proofErr w:type="spellStart"/>
      <w:r>
        <w:rPr>
          <w:rFonts w:ascii="Times New Roman" w:eastAsia="Times New Roman" w:hAnsi="Times New Roman" w:cs="Times New Roman"/>
          <w:color w:val="222222"/>
          <w:sz w:val="24"/>
          <w:szCs w:val="24"/>
          <w:highlight w:val="white"/>
        </w:rPr>
        <w:t>Feigl</w:t>
      </w:r>
      <w:proofErr w:type="spellEnd"/>
      <w:r>
        <w:rPr>
          <w:rFonts w:ascii="Times New Roman" w:eastAsia="Times New Roman" w:hAnsi="Times New Roman" w:cs="Times New Roman"/>
          <w:color w:val="222222"/>
          <w:sz w:val="24"/>
          <w:szCs w:val="24"/>
          <w:highlight w:val="white"/>
        </w:rPr>
        <w:t xml:space="preserve"> &amp; Maxwell, 1962)</w:t>
      </w:r>
      <w:r>
        <w:rPr>
          <w:rFonts w:ascii="Times New Roman" w:eastAsia="Times New Roman" w:hAnsi="Times New Roman" w:cs="Times New Roman"/>
          <w:sz w:val="24"/>
          <w:szCs w:val="24"/>
        </w:rPr>
        <w:t>. This part of the thesis when coupled with issues of reductionism, instrumentalism, as well as theoretical entities, formed the basis</w:t>
      </w:r>
      <w:r>
        <w:rPr>
          <w:rFonts w:ascii="Times New Roman" w:eastAsia="Times New Roman" w:hAnsi="Times New Roman" w:cs="Times New Roman"/>
          <w:sz w:val="24"/>
          <w:szCs w:val="24"/>
        </w:rPr>
        <w:t xml:space="preserve"> of the paper.</w:t>
      </w:r>
    </w:p>
    <w:p w:rsidR="00431E74" w:rsidRDefault="00055073">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paper contained some aspects of persuasive elements that helped convince the audience about the deductions made by the authors of the paper. However, complicated and long formats reversed the benefits of expository writing.</w:t>
      </w:r>
    </w:p>
    <w:p w:rsidR="00431E74" w:rsidRDefault="00055073">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stronge</w:t>
      </w:r>
      <w:r>
        <w:rPr>
          <w:rFonts w:ascii="Times New Roman" w:eastAsia="Times New Roman" w:hAnsi="Times New Roman" w:cs="Times New Roman"/>
          <w:sz w:val="24"/>
          <w:szCs w:val="24"/>
        </w:rPr>
        <w:t>st part of the argument is that there ex</w:t>
      </w:r>
      <w:bookmarkStart w:id="1" w:name="_GoBack"/>
      <w:bookmarkEnd w:id="1"/>
      <w:r>
        <w:rPr>
          <w:rFonts w:ascii="Times New Roman" w:eastAsia="Times New Roman" w:hAnsi="Times New Roman" w:cs="Times New Roman"/>
          <w:sz w:val="24"/>
          <w:szCs w:val="24"/>
        </w:rPr>
        <w:t>ists a genuine separation between the observable scientific events and the theoretical scientific aspect (</w:t>
      </w:r>
      <w:proofErr w:type="spellStart"/>
      <w:r>
        <w:rPr>
          <w:rFonts w:ascii="Times New Roman" w:eastAsia="Times New Roman" w:hAnsi="Times New Roman" w:cs="Times New Roman"/>
          <w:color w:val="222222"/>
          <w:sz w:val="24"/>
          <w:szCs w:val="24"/>
          <w:highlight w:val="white"/>
        </w:rPr>
        <w:t>Feigl</w:t>
      </w:r>
      <w:proofErr w:type="spellEnd"/>
      <w:r>
        <w:rPr>
          <w:rFonts w:ascii="Times New Roman" w:eastAsia="Times New Roman" w:hAnsi="Times New Roman" w:cs="Times New Roman"/>
          <w:color w:val="222222"/>
          <w:sz w:val="24"/>
          <w:szCs w:val="24"/>
          <w:highlight w:val="white"/>
        </w:rPr>
        <w:t xml:space="preserve"> &amp; Maxwell, 1962)</w:t>
      </w:r>
      <w:r>
        <w:rPr>
          <w:rFonts w:ascii="Times New Roman" w:eastAsia="Times New Roman" w:hAnsi="Times New Roman" w:cs="Times New Roman"/>
          <w:sz w:val="24"/>
          <w:szCs w:val="24"/>
        </w:rPr>
        <w:t>. This statement is strong as it is supported by the fact that as science continues to c</w:t>
      </w:r>
      <w:r>
        <w:rPr>
          <w:rFonts w:ascii="Times New Roman" w:eastAsia="Times New Roman" w:hAnsi="Times New Roman" w:cs="Times New Roman"/>
          <w:sz w:val="24"/>
          <w:szCs w:val="24"/>
        </w:rPr>
        <w:t xml:space="preserve">learly define what is </w:t>
      </w:r>
      <w:r>
        <w:rPr>
          <w:rFonts w:ascii="Times New Roman" w:eastAsia="Times New Roman" w:hAnsi="Times New Roman" w:cs="Times New Roman"/>
          <w:sz w:val="24"/>
          <w:szCs w:val="24"/>
        </w:rPr>
        <w:lastRenderedPageBreak/>
        <w:t>meant by scientific observation and therefore the issues and problems that don't fall under the scientific definition of observable entities are classified as theoretical aspects.</w:t>
      </w:r>
      <w:r w:rsidR="00A765AD">
        <w:rPr>
          <w:rFonts w:ascii="Times New Roman" w:eastAsia="Times New Roman" w:hAnsi="Times New Roman" w:cs="Times New Roman"/>
          <w:sz w:val="24"/>
          <w:szCs w:val="24"/>
        </w:rPr>
        <w:t xml:space="preserve"> </w:t>
      </w:r>
      <w:r w:rsidR="001C593F">
        <w:rPr>
          <w:rFonts w:ascii="Times New Roman" w:eastAsia="Times New Roman" w:hAnsi="Times New Roman" w:cs="Times New Roman"/>
          <w:sz w:val="24"/>
          <w:szCs w:val="24"/>
        </w:rPr>
        <w:t>Based on the above facts t</w:t>
      </w:r>
      <w:r w:rsidR="00A765AD">
        <w:rPr>
          <w:rFonts w:ascii="Times New Roman" w:eastAsia="Times New Roman" w:hAnsi="Times New Roman" w:cs="Times New Roman"/>
          <w:sz w:val="24"/>
          <w:szCs w:val="24"/>
        </w:rPr>
        <w:t xml:space="preserve">he authors went ahead to conclude </w:t>
      </w:r>
      <w:r w:rsidR="001C593F">
        <w:rPr>
          <w:rFonts w:ascii="Times New Roman" w:eastAsia="Times New Roman" w:hAnsi="Times New Roman" w:cs="Times New Roman"/>
          <w:sz w:val="24"/>
          <w:szCs w:val="24"/>
        </w:rPr>
        <w:t xml:space="preserve">that the introduction of observation-theoretical line at any point of research is erroneous and depends on the instruments at ones disposal, available knowledge and individual physical make-up. </w:t>
      </w:r>
    </w:p>
    <w:p w:rsidR="00431E74" w:rsidRDefault="00055073">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weakest section of the argument that there exist</w:t>
      </w:r>
      <w:r>
        <w:rPr>
          <w:rFonts w:ascii="Times New Roman" w:eastAsia="Times New Roman" w:hAnsi="Times New Roman" w:cs="Times New Roman"/>
          <w:sz w:val="24"/>
          <w:szCs w:val="24"/>
        </w:rPr>
        <w:t>s a genuine separation between the observable scientific events and the theoretical scientific aspects is the fact that the proposed observational concept lacks felicitousness since it leads to the excessive conversion of expression which logical empiricis</w:t>
      </w:r>
      <w:r>
        <w:rPr>
          <w:rFonts w:ascii="Times New Roman" w:eastAsia="Times New Roman" w:hAnsi="Times New Roman" w:cs="Times New Roman"/>
          <w:sz w:val="24"/>
          <w:szCs w:val="24"/>
        </w:rPr>
        <w:t>t classify as either observational or theoretical.</w:t>
      </w:r>
    </w:p>
    <w:p w:rsidR="00431E74" w:rsidRDefault="00055073">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concepts that are explained by the authors in the book are correct. This is because it is true that there exists a difference in </w:t>
      </w:r>
      <w:r>
        <w:rPr>
          <w:rFonts w:ascii="Times New Roman" w:eastAsia="Times New Roman" w:hAnsi="Times New Roman" w:cs="Times New Roman"/>
          <w:sz w:val="24"/>
          <w:szCs w:val="24"/>
        </w:rPr>
        <w:t>scientific</w:t>
      </w:r>
      <w:r w:rsidR="001C593F">
        <w:rPr>
          <w:rFonts w:ascii="Times New Roman" w:eastAsia="Times New Roman" w:hAnsi="Times New Roman" w:cs="Times New Roman"/>
          <w:sz w:val="24"/>
          <w:szCs w:val="24"/>
        </w:rPr>
        <w:t xml:space="preserve"> determination of whether results are observational or theoretical. This determination depends on influences such as individual make-up and availability of required tools and instruments (pg. 14)</w:t>
      </w:r>
      <w:r>
        <w:rPr>
          <w:rFonts w:ascii="Times New Roman" w:eastAsia="Times New Roman" w:hAnsi="Times New Roman" w:cs="Times New Roman"/>
          <w:sz w:val="24"/>
          <w:szCs w:val="24"/>
        </w:rPr>
        <w:t>. Additionally, the two classifica</w:t>
      </w:r>
      <w:r>
        <w:rPr>
          <w:rFonts w:ascii="Times New Roman" w:eastAsia="Times New Roman" w:hAnsi="Times New Roman" w:cs="Times New Roman"/>
          <w:sz w:val="24"/>
          <w:szCs w:val="24"/>
        </w:rPr>
        <w:t>tions of scientific aspects, observable and theoretical, have been proven to be separated by a diffuse line which hops from one scientific anomaly to another as it continues to tilt towards the side of the theoretical aspects of scientific research. Maxwel</w:t>
      </w:r>
      <w:r>
        <w:rPr>
          <w:rFonts w:ascii="Times New Roman" w:eastAsia="Times New Roman" w:hAnsi="Times New Roman" w:cs="Times New Roman"/>
          <w:sz w:val="24"/>
          <w:szCs w:val="24"/>
        </w:rPr>
        <w:t xml:space="preserve">l's evidence as highlighted in the paper supports this conclusion. </w:t>
      </w:r>
    </w:p>
    <w:p w:rsidR="00431E74" w:rsidRDefault="00055073">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Questions arising from the paper regard the interpretation of the concept of </w:t>
      </w:r>
      <w:proofErr w:type="spellStart"/>
      <w:r>
        <w:rPr>
          <w:rFonts w:ascii="Times New Roman" w:eastAsia="Times New Roman" w:hAnsi="Times New Roman" w:cs="Times New Roman"/>
          <w:sz w:val="24"/>
          <w:szCs w:val="24"/>
        </w:rPr>
        <w:t>geochronometry</w:t>
      </w:r>
      <w:proofErr w:type="spellEnd"/>
      <w:r>
        <w:rPr>
          <w:rFonts w:ascii="Times New Roman" w:eastAsia="Times New Roman" w:hAnsi="Times New Roman" w:cs="Times New Roman"/>
          <w:sz w:val="24"/>
          <w:szCs w:val="24"/>
        </w:rPr>
        <w:t xml:space="preserve"> and its impact on time and space. </w:t>
      </w:r>
    </w:p>
    <w:p w:rsidR="00431E74" w:rsidRDefault="00055073">
      <w:pPr>
        <w:rPr>
          <w:rFonts w:ascii="Times New Roman" w:eastAsia="Times New Roman" w:hAnsi="Times New Roman" w:cs="Times New Roman"/>
          <w:sz w:val="24"/>
          <w:szCs w:val="24"/>
        </w:rPr>
      </w:pPr>
      <w:r>
        <w:br w:type="page"/>
      </w:r>
    </w:p>
    <w:p w:rsidR="00431E74" w:rsidRDefault="00055073">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rsidR="00431E74" w:rsidRDefault="00055073">
      <w:pPr>
        <w:ind w:firstLine="0"/>
        <w:rPr>
          <w:rFonts w:ascii="Times New Roman" w:eastAsia="Times New Roman" w:hAnsi="Times New Roman" w:cs="Times New Roman"/>
          <w:sz w:val="24"/>
          <w:szCs w:val="24"/>
        </w:rPr>
      </w:pPr>
      <w:proofErr w:type="spellStart"/>
      <w:r>
        <w:rPr>
          <w:rFonts w:ascii="Times New Roman" w:eastAsia="Times New Roman" w:hAnsi="Times New Roman" w:cs="Times New Roman"/>
          <w:color w:val="222222"/>
          <w:sz w:val="24"/>
          <w:szCs w:val="24"/>
          <w:highlight w:val="white"/>
        </w:rPr>
        <w:t>Feigl</w:t>
      </w:r>
      <w:proofErr w:type="spellEnd"/>
      <w:r>
        <w:rPr>
          <w:rFonts w:ascii="Times New Roman" w:eastAsia="Times New Roman" w:hAnsi="Times New Roman" w:cs="Times New Roman"/>
          <w:color w:val="222222"/>
          <w:sz w:val="24"/>
          <w:szCs w:val="24"/>
          <w:highlight w:val="white"/>
        </w:rPr>
        <w:t>, H., &amp; Maxwell, G. (1962). Scientific Expl</w:t>
      </w:r>
      <w:r>
        <w:rPr>
          <w:rFonts w:ascii="Times New Roman" w:eastAsia="Times New Roman" w:hAnsi="Times New Roman" w:cs="Times New Roman"/>
          <w:color w:val="222222"/>
          <w:sz w:val="24"/>
          <w:szCs w:val="24"/>
          <w:highlight w:val="white"/>
        </w:rPr>
        <w:t xml:space="preserve">anation, Space, and Time: Minnesota Studies in </w:t>
      </w:r>
      <w:r>
        <w:rPr>
          <w:rFonts w:ascii="Times New Roman" w:eastAsia="Times New Roman" w:hAnsi="Times New Roman" w:cs="Times New Roman"/>
          <w:color w:val="222222"/>
          <w:sz w:val="24"/>
          <w:szCs w:val="24"/>
          <w:highlight w:val="white"/>
        </w:rPr>
        <w:tab/>
        <w:t>the Philosophy of Science.</w:t>
      </w:r>
    </w:p>
    <w:sectPr w:rsidR="00431E74">
      <w:headerReference w:type="default" r:id="rId6"/>
      <w:headerReference w:type="first" r:id="rId7"/>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073" w:rsidRDefault="00055073">
      <w:pPr>
        <w:spacing w:after="0" w:line="240" w:lineRule="auto"/>
      </w:pPr>
      <w:r>
        <w:separator/>
      </w:r>
    </w:p>
  </w:endnote>
  <w:endnote w:type="continuationSeparator" w:id="0">
    <w:p w:rsidR="00055073" w:rsidRDefault="00055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073" w:rsidRDefault="00055073">
      <w:pPr>
        <w:spacing w:after="0" w:line="240" w:lineRule="auto"/>
      </w:pPr>
      <w:r>
        <w:separator/>
      </w:r>
    </w:p>
  </w:footnote>
  <w:footnote w:type="continuationSeparator" w:id="0">
    <w:p w:rsidR="00055073" w:rsidRDefault="000550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E74" w:rsidRDefault="00055073">
    <w:pPr>
      <w:pBdr>
        <w:top w:val="nil"/>
        <w:left w:val="nil"/>
        <w:bottom w:val="nil"/>
        <w:right w:val="nil"/>
        <w:between w:val="nil"/>
      </w:pBdr>
      <w:tabs>
        <w:tab w:val="center" w:pos="4680"/>
        <w:tab w:val="right" w:pos="9360"/>
      </w:tabs>
      <w:spacing w:after="0" w:line="24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SCIENTIFIC EXPLANATION, SPACE, AND TIME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8112F9">
      <w:rPr>
        <w:rFonts w:ascii="Times New Roman" w:eastAsia="Times New Roman" w:hAnsi="Times New Roman" w:cs="Times New Roman"/>
        <w:color w:val="000000"/>
        <w:sz w:val="24"/>
        <w:szCs w:val="24"/>
      </w:rPr>
      <w:fldChar w:fldCharType="separate"/>
    </w:r>
    <w:r w:rsidR="001C593F">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p w:rsidR="00431E74" w:rsidRDefault="00431E74">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E74" w:rsidRDefault="00055073">
    <w:pPr>
      <w:pBdr>
        <w:top w:val="nil"/>
        <w:left w:val="nil"/>
        <w:bottom w:val="nil"/>
        <w:right w:val="nil"/>
        <w:between w:val="nil"/>
      </w:pBdr>
      <w:tabs>
        <w:tab w:val="center" w:pos="4680"/>
        <w:tab w:val="right" w:pos="9360"/>
      </w:tabs>
      <w:spacing w:after="0" w:line="24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 SCIENTIFIC EXPLANATION, SPACE, AND TIME</w:t>
    </w:r>
  </w:p>
  <w:p w:rsidR="00431E74" w:rsidRDefault="00431E74">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31E74"/>
    <w:rsid w:val="00055073"/>
    <w:rsid w:val="001C593F"/>
    <w:rsid w:val="00431E74"/>
    <w:rsid w:val="008112F9"/>
    <w:rsid w:val="00A765AD"/>
    <w:rsid w:val="00CB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D5C616-C9FF-4B90-8C1B-C2A3D5E9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87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0CC"/>
    <w:rPr>
      <w:rFonts w:ascii="Tahoma" w:hAnsi="Tahoma" w:cs="Tahoma"/>
      <w:sz w:val="16"/>
      <w:szCs w:val="16"/>
    </w:rPr>
  </w:style>
  <w:style w:type="paragraph" w:styleId="Header">
    <w:name w:val="header"/>
    <w:basedOn w:val="Normal"/>
    <w:link w:val="HeaderChar"/>
    <w:uiPriority w:val="99"/>
    <w:unhideWhenUsed/>
    <w:rsid w:val="00185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A1"/>
  </w:style>
  <w:style w:type="paragraph" w:styleId="Footer">
    <w:name w:val="footer"/>
    <w:basedOn w:val="Normal"/>
    <w:link w:val="FooterChar"/>
    <w:uiPriority w:val="99"/>
    <w:unhideWhenUsed/>
    <w:rsid w:val="00185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A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eric wachaga</cp:lastModifiedBy>
  <cp:revision>3</cp:revision>
  <dcterms:created xsi:type="dcterms:W3CDTF">2018-10-15T12:25:00Z</dcterms:created>
  <dcterms:modified xsi:type="dcterms:W3CDTF">2018-10-15T13:16:00Z</dcterms:modified>
</cp:coreProperties>
</file>